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9"/>
        <w:gridCol w:w="9745"/>
      </w:tblGrid>
      <w:tr w:rsidR="003B1047" w:rsidRPr="00AB784F" w14:paraId="0B30E011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2E69C" w14:textId="24AC2E3D" w:rsidR="003B1047" w:rsidRPr="00AB784F" w:rsidRDefault="003B1047" w:rsidP="00AB78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 xml:space="preserve">Kehtiv </w:t>
            </w:r>
            <w:hyperlink r:id="rId8" w:anchor="para2" w:tgtFrame="_blank" w:history="1">
              <w:r w:rsidRPr="00AB784F">
                <w:rPr>
                  <w:rFonts w:ascii="Times New Roman" w:eastAsia="Times New Roman" w:hAnsi="Times New Roman" w:cs="Times New Roman"/>
                  <w:b/>
                  <w:bCs/>
                  <w:color w:val="467886"/>
                  <w:kern w:val="0"/>
                  <w:u w:val="single"/>
                  <w:lang w:eastAsia="et-EE"/>
                  <w14:ligatures w14:val="none"/>
                </w:rPr>
                <w:t>Nakkushaiguste ennetamise ja tõrje seadus–Riigi Teataja</w:t>
              </w:r>
            </w:hyperlink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5A0A5" w14:textId="50D16DA3" w:rsidR="003B1047" w:rsidRPr="00AB784F" w:rsidRDefault="003B1047" w:rsidP="00AB784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>U</w:t>
            </w:r>
            <w:r w:rsidRPr="00AB784F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 xml:space="preserve">ued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>terminid</w:t>
            </w:r>
            <w:r w:rsidRPr="00AB784F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 xml:space="preserve"> ja nende definitsioonid</w:t>
            </w: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 </w:t>
            </w:r>
          </w:p>
        </w:tc>
      </w:tr>
      <w:tr w:rsidR="005662FA" w:rsidRPr="00AB784F" w14:paraId="70525266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0873" w14:textId="77777777" w:rsidR="005662FA" w:rsidRPr="00AB784F" w:rsidRDefault="005662FA" w:rsidP="00AB7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1CB7" w14:textId="0375BFDE" w:rsidR="005662FA" w:rsidRPr="00AB784F" w:rsidRDefault="008D1271" w:rsidP="00AB7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 xml:space="preserve">avalik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>koht</w:t>
            </w: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– </w:t>
            </w:r>
            <w:r w:rsidRPr="009D7BD1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avaliku kohana käsitatakse käesoleva seaduse tähenduses lisaks korrakaitseseaduse §-s 54 sätestatule ka kohta, mis on antud tasu eest või tasuta kasutada avaliku ürituse või koosoleku korraldamiseks</w:t>
            </w:r>
          </w:p>
        </w:tc>
      </w:tr>
      <w:tr w:rsidR="008D1271" w:rsidRPr="00AB784F" w14:paraId="74904007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5AC1" w14:textId="77777777" w:rsidR="008D1271" w:rsidRPr="00AB784F" w:rsidRDefault="008D1271" w:rsidP="00AB7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7662" w14:textId="03FCB4DD" w:rsidR="008D1271" w:rsidRPr="00AB784F" w:rsidRDefault="008D1271" w:rsidP="00AB7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AB784F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>bioohutus</w:t>
            </w:r>
            <w:proofErr w:type="spellEnd"/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– </w:t>
            </w:r>
            <w:r w:rsidRPr="00022E5E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põhimõtete, tehnoloogiate ja tegevuste kogum, mille eesmärk on vältida nakkustekitajate tahtmatut vabanemist ja nendega kokkupuudet, et kaitsta töötajate ja elanikkonna tervist ning keskkonda</w:t>
            </w:r>
          </w:p>
        </w:tc>
      </w:tr>
      <w:tr w:rsidR="008D1271" w:rsidRPr="00AB784F" w14:paraId="5808CCC9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3B20" w14:textId="3EE1A820" w:rsidR="008D1271" w:rsidRPr="00AB784F" w:rsidRDefault="008D1271" w:rsidP="008D12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epideemia – nakkushaiguse puhang, mis nõuab nakkustõrje meetmete laiaulatuslikku rakendamist; </w:t>
            </w: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00D6" w14:textId="71FBAA2A" w:rsidR="008D1271" w:rsidRPr="00AB784F" w:rsidRDefault="008D1271" w:rsidP="008D12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>epideemia</w:t>
            </w: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 – </w:t>
            </w:r>
            <w:r w:rsidRPr="00022E5E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nakkushaiguse haigusjuhtude esinemine elanikkonnas oodatust tunduvalt suuremal määral või nakkushaiguspuhangu laiaulatuslik ja intensiivne levik, mis tingib vajaduse rakendada ulatuslikke nakkustõrje meetmeid</w:t>
            </w:r>
          </w:p>
        </w:tc>
      </w:tr>
      <w:tr w:rsidR="008D1271" w:rsidRPr="00AB784F" w14:paraId="5A635A64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6A86" w14:textId="77777777" w:rsidR="008D1271" w:rsidRPr="00AB784F" w:rsidRDefault="008D1271" w:rsidP="00AB7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6547" w14:textId="57A0312F" w:rsidR="008D1271" w:rsidRPr="00AB784F" w:rsidRDefault="008D1271" w:rsidP="00AB7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737A5A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 xml:space="preserve">epidemioloogiline uuring – </w:t>
            </w:r>
            <w:r w:rsidRPr="00022E5E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tegevused nakkusallika, nakkuse levikutee</w:t>
            </w:r>
            <w:r w:rsidR="00800323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ja </w:t>
            </w:r>
            <w:r w:rsidRPr="00022E5E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nakatumist soodustavate asjaolude väljaselgitamiseks, olukorra hindamiseks, nakkuskahtlaste</w:t>
            </w:r>
            <w:r w:rsidR="00F640A1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ja </w:t>
            </w:r>
            <w:r w:rsidRPr="00022E5E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nakkusohtlike inimeste ning vajalike tõrjemeetmete kindlaksmääramiseks</w:t>
            </w:r>
          </w:p>
        </w:tc>
      </w:tr>
      <w:tr w:rsidR="008D1271" w:rsidRPr="00AB784F" w14:paraId="2911AF3D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D32C" w14:textId="77777777" w:rsidR="008D1271" w:rsidRPr="00AB784F" w:rsidRDefault="008D1271" w:rsidP="00AB7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39F1" w14:textId="272D7257" w:rsidR="008D1271" w:rsidRPr="00AB784F" w:rsidRDefault="002D25C7" w:rsidP="00AB7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2D25C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  <w:t xml:space="preserve">haiguskolle – </w:t>
            </w:r>
            <w:r w:rsidRPr="002D25C7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nakkusallika asukoht </w:t>
            </w:r>
            <w:r w:rsidR="006F1AA5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ja</w:t>
            </w:r>
            <w:r w:rsidRPr="002D25C7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 xml:space="preserve"> seda ümbritsev ruum või territoorium neis piirides, kus nakkus on võimeline levima</w:t>
            </w:r>
          </w:p>
        </w:tc>
      </w:tr>
      <w:tr w:rsidR="006B1A90" w:rsidRPr="00AB784F" w14:paraId="756E4EB4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37B7" w14:textId="77777777" w:rsidR="006B1A90" w:rsidRPr="00AB784F" w:rsidRDefault="006B1A90" w:rsidP="00AB7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346F" w14:textId="58441BE7" w:rsidR="006B1A90" w:rsidRPr="00AB784F" w:rsidRDefault="006B1A90" w:rsidP="00AB7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6B1A9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  <w:t xml:space="preserve">isolatsioon – </w:t>
            </w:r>
            <w:r w:rsidRPr="006B1A90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nakkushaige või nakkusohtliku isiku eraldamine teistest isikutest kodus, haiglas või muus viibimiskohas eesmärgiga vältida nakkuse edasikandumist</w:t>
            </w:r>
          </w:p>
        </w:tc>
      </w:tr>
      <w:tr w:rsidR="009178A8" w:rsidRPr="00AB784F" w14:paraId="04C0D3D9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B5FC" w14:textId="77777777" w:rsidR="009178A8" w:rsidRPr="00AB784F" w:rsidRDefault="009178A8" w:rsidP="00AB7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5ACA" w14:textId="08E27663" w:rsidR="009178A8" w:rsidRPr="00AB784F" w:rsidRDefault="009178A8" w:rsidP="00AB7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9178A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  <w:t xml:space="preserve">karantiin – </w:t>
            </w:r>
            <w:r w:rsidRPr="009178A8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nakkushaigega kokku puutunud või nakkusohuga piirkonnas viibinud, kuid haigustunnusteta isiku, samuti teatud kauba või looma liikumisvabaduse ja tegevuste piiramine eesmärgiga ennetada nakkuse võimalikku levikut selle peiteperioodil</w:t>
            </w:r>
          </w:p>
        </w:tc>
      </w:tr>
      <w:tr w:rsidR="008A3141" w:rsidRPr="00AB784F" w14:paraId="2D7F64C5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0F02" w14:textId="77777777" w:rsidR="008A3141" w:rsidRPr="00AB784F" w:rsidRDefault="008A3141" w:rsidP="00AB7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AA1F" w14:textId="20AA5FCF" w:rsidR="008A3141" w:rsidRPr="00AB784F" w:rsidRDefault="008A3141" w:rsidP="00AB7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8A314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  <w:t xml:space="preserve">nakkusallikas – </w:t>
            </w:r>
            <w:r w:rsidRPr="008A3141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inimene, loom, objekt, aine või keskkonnaosa, millelt nakkustekitaja kandub vastuvõtlikule organismile</w:t>
            </w:r>
          </w:p>
        </w:tc>
      </w:tr>
      <w:tr w:rsidR="004043E9" w:rsidRPr="00AB784F" w14:paraId="41C8B7A5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3DE9" w14:textId="4A5830E9" w:rsidR="004043E9" w:rsidRPr="00AB784F" w:rsidRDefault="004043E9" w:rsidP="00404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nakkushaige – inimene, kellel on arstiteaduses tunnustatud meetoditega diagnoositud nakkushaigus; </w:t>
            </w: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DF9F" w14:textId="34592832" w:rsidR="004043E9" w:rsidRPr="00AB784F" w:rsidRDefault="004043E9" w:rsidP="00404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>nakkushaige</w:t>
            </w: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 – </w:t>
            </w:r>
            <w:r w:rsidRPr="00806A63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isik, kellel on arstiteaduses tunnustatud meetodite, sealhulgas laboratoorse uuringu, kliinilise pildi või epidemioloogilise seose alusel, diagnoositud nakkushaigus</w:t>
            </w:r>
          </w:p>
        </w:tc>
      </w:tr>
      <w:tr w:rsidR="004043E9" w:rsidRPr="00AB784F" w14:paraId="1F52043E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15B4" w14:textId="363C46BE" w:rsidR="004043E9" w:rsidRPr="00AB784F" w:rsidRDefault="004043E9" w:rsidP="00404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nakkushaigus – haigus või haigustunnusteta kandlusseisund, mis on põhjustatud nakkustekitaja sattumisest organismi ja mis levib või mille puhul on alust oletada levikut inimeselt inimesele või loomalt inimesele otseselt või kaudselt; </w:t>
            </w: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9E7E" w14:textId="40539E72" w:rsidR="004043E9" w:rsidRPr="00AB784F" w:rsidRDefault="004043E9" w:rsidP="004043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>nakkushaigus</w:t>
            </w: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 – </w:t>
            </w:r>
            <w:r w:rsidRPr="00C4542E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edasikanduv haigus või nakkus, mis on põhjustatud bioloogilise nakkustekitaja või selle toksiini sattumisest organismi </w:t>
            </w:r>
            <w:r w:rsidR="003D57B3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ja </w:t>
            </w:r>
            <w:r w:rsidRPr="00C4542E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mis levib otseselt või kaudselt inimeselt, loomalt või keskkonnast inimesele</w:t>
            </w:r>
          </w:p>
        </w:tc>
      </w:tr>
      <w:tr w:rsidR="004727D1" w:rsidRPr="00AB784F" w14:paraId="4013B77F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D0EE" w14:textId="0BECE78D" w:rsidR="004727D1" w:rsidRPr="00AB784F" w:rsidRDefault="004727D1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haiguspuhang – tavapärast haigestumise taset ületav ühise nakkusallika või levikufaktoriga seotud teatud ajavahemikus esinev nakkushaigusjuhtude arv; </w:t>
            </w: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1906" w14:textId="6FCC2311" w:rsidR="004727D1" w:rsidRPr="00AB784F" w:rsidRDefault="004727D1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4727D1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>nakkushaiguse puhang – </w:t>
            </w:r>
            <w:r w:rsidRPr="004727D1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nakkushaigusjuhtude esinemine oodatust suuremal määral piiritletud rahvastikurühmas, ajal või kohas</w:t>
            </w:r>
          </w:p>
        </w:tc>
      </w:tr>
      <w:tr w:rsidR="004727D1" w:rsidRPr="00AB784F" w14:paraId="612ADD7F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DCCF" w14:textId="77777777" w:rsidR="004727D1" w:rsidRPr="00AB784F" w:rsidRDefault="004727D1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C365" w14:textId="70D044DC" w:rsidR="004727D1" w:rsidRPr="00AB784F" w:rsidRDefault="007921A5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7921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  <w:t xml:space="preserve">nakkushaiguste ennetamine – </w:t>
            </w:r>
            <w:r w:rsidRPr="007921A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et-EE"/>
                <w14:ligatures w14:val="none"/>
              </w:rPr>
              <w:t xml:space="preserve">meetmete kogum, mille eesmärk on vältida nakkushaigustesse nakatumist, haigestumist, nende levikut ja puhanguid ning vähendada nendega kaasnevat tervisekahju ja majanduslikku kahju, hõlmates muu hulgas immuniseerimist ja </w:t>
            </w:r>
            <w:proofErr w:type="spellStart"/>
            <w:r w:rsidRPr="007921A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et-EE"/>
                <w14:ligatures w14:val="none"/>
              </w:rPr>
              <w:t>terviseedendust</w:t>
            </w:r>
            <w:proofErr w:type="spellEnd"/>
          </w:p>
        </w:tc>
      </w:tr>
      <w:tr w:rsidR="007921A5" w:rsidRPr="00AB784F" w14:paraId="1697FE57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2458" w14:textId="68049CF0" w:rsidR="007921A5" w:rsidRPr="00AB784F" w:rsidRDefault="007921A5" w:rsidP="007921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lastRenderedPageBreak/>
              <w:t>seire – tervisealaste andmete, sealhulgas nakkushaiguste epidemioloogiliste uuringute ja nakatumise riskitegurite andmete süstemaatiline kogumine, analüüsimine, tõlgendamine ja levitamine nakkushaiguste leviku ennetamise ning tõrje eesmärgil </w:t>
            </w: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F99F" w14:textId="3D22BD06" w:rsidR="007921A5" w:rsidRPr="00AB784F" w:rsidRDefault="007921A5" w:rsidP="007921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 xml:space="preserve">nakkushaiguste </w:t>
            </w:r>
            <w:r w:rsidRPr="00AB784F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>seire</w:t>
            </w: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 – </w:t>
            </w:r>
            <w:r w:rsidR="00E8099A" w:rsidRPr="00E8099A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nakkushaiguste, nakkustekitajate ja nende riskitegurite kohta andmete süstemaatiline kogumine, analüüsimine, tõlgendamine ja edastamine eesmärgiga avastada varakult terviseohte, kavandada ennetus- ja tõrjemeetmeid ning hinnata nende tõhusust</w:t>
            </w:r>
          </w:p>
        </w:tc>
      </w:tr>
      <w:tr w:rsidR="00820042" w:rsidRPr="00AB784F" w14:paraId="3EF296DC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9679" w14:textId="02B54CA9" w:rsidR="00820042" w:rsidRPr="00AB784F" w:rsidRDefault="00820042" w:rsidP="00820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nakkuskahtlane isik – nakkushaigega samades tingimustes olnud või haigest nakatuda võinud, kuid arstliku läbivaatuse ajaks mittehaigestunud isik; </w:t>
            </w: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55D4" w14:textId="2ED3E16E" w:rsidR="00820042" w:rsidRPr="00AB784F" w:rsidRDefault="00820042" w:rsidP="00820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>nakkuskahtlane isik</w:t>
            </w: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 – </w:t>
            </w:r>
            <w:r w:rsidR="006D7475" w:rsidRPr="006D7475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isik, kelle puhul on alust arvata, et ta on nakkustekitajaga kokku puutunud või viibinud nakkusohtlikus piirkonnas, kuid kellel ei ole veel diagnoositud nakkushaigust ega tõendatud nakkusohtlikkust</w:t>
            </w:r>
          </w:p>
        </w:tc>
      </w:tr>
      <w:tr w:rsidR="00820042" w:rsidRPr="00AB784F" w14:paraId="624369EA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9675" w14:textId="77777777" w:rsidR="00820042" w:rsidRPr="00AB784F" w:rsidRDefault="00820042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DB8C" w14:textId="784D6AD6" w:rsidR="00820042" w:rsidRPr="00AB784F" w:rsidRDefault="006D7475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6D747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  <w:t xml:space="preserve">nakkusohtlik isik – </w:t>
            </w:r>
            <w:r w:rsidRPr="006D7475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nakkushaige või nakkuskandja, kes võib nakkust teistele inimestele edasi anda</w:t>
            </w:r>
          </w:p>
        </w:tc>
      </w:tr>
      <w:tr w:rsidR="00820042" w:rsidRPr="00AB784F" w14:paraId="443A5B08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317E" w14:textId="77777777" w:rsidR="00820042" w:rsidRPr="00AB784F" w:rsidRDefault="00820042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66D2" w14:textId="72CC618C" w:rsidR="00820042" w:rsidRPr="00AB784F" w:rsidRDefault="00F52146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 xml:space="preserve">nakkusohtlik materjal </w:t>
            </w:r>
            <w:r w:rsidRPr="006D747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  <w:t>–</w:t>
            </w:r>
            <w:r w:rsidRPr="00AB784F">
              <w:rPr>
                <w:rFonts w:ascii="Aptos" w:eastAsia="Times New Roman" w:hAnsi="Aptos" w:cs="Segoe UI"/>
                <w:kern w:val="0"/>
                <w:sz w:val="22"/>
                <w:szCs w:val="22"/>
                <w:lang w:eastAsia="et-EE"/>
                <w14:ligatures w14:val="none"/>
              </w:rPr>
              <w:t xml:space="preserve"> </w:t>
            </w:r>
            <w:r w:rsidRPr="00F52146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materjal, sealhulgas organismist pärinev uuringumaterjal, laboratoorne kultuur või saastunud ese, mis sisaldab või mille puhul on põhjendatud kahtlus, et see sisaldab nakkustekitajat</w:t>
            </w:r>
          </w:p>
        </w:tc>
      </w:tr>
      <w:tr w:rsidR="00820042" w:rsidRPr="00AB784F" w14:paraId="4EE3AEFC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A7E6" w14:textId="77777777" w:rsidR="00820042" w:rsidRPr="00AB784F" w:rsidRDefault="00820042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EAAC" w14:textId="0BCE16CF" w:rsidR="00820042" w:rsidRPr="00AB784F" w:rsidRDefault="00924982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9249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  <w:t xml:space="preserve">nakkusohutus – </w:t>
            </w:r>
            <w:r w:rsidRPr="00924982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põhimõtete ja meetmete kogum, mida rakendatakse nakkushaiguste leviku vältimiseks inimese elukeskkonnas, sealhulgas tervishoiu- ja sotsiaalteenuste osutamisel, iluteenuste osutamisel ning töökohal</w:t>
            </w:r>
          </w:p>
        </w:tc>
      </w:tr>
      <w:tr w:rsidR="00986837" w:rsidRPr="00AB784F" w14:paraId="6918DF14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28B0" w14:textId="68A0F86A" w:rsidR="00986837" w:rsidRPr="00AB784F" w:rsidRDefault="00986837" w:rsidP="009868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nakkustekitaja – </w:t>
            </w:r>
            <w:proofErr w:type="spellStart"/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prioon</w:t>
            </w:r>
            <w:proofErr w:type="spellEnd"/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, viirus, bakter, mikroskoopiline seen, algloom, ussnugiline ja lülijalgne, samuti nende komponendid ja toksiinid, mis on võimelised tekitama nakkushaigust; </w:t>
            </w: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D568" w14:textId="2DAFFA1C" w:rsidR="00986837" w:rsidRPr="00AB784F" w:rsidRDefault="00986837" w:rsidP="009868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  <w:t>nakkustekitaja</w:t>
            </w:r>
            <w:r w:rsidRPr="00AB784F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 </w:t>
            </w: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– </w:t>
            </w:r>
            <w:r w:rsidRPr="0098683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mistahes bioloogiline tegur, sealhulgas </w:t>
            </w:r>
            <w:proofErr w:type="spellStart"/>
            <w:r w:rsidRPr="0098683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prioon</w:t>
            </w:r>
            <w:proofErr w:type="spellEnd"/>
            <w:r w:rsidRPr="0098683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, viirus, bakter, mikroskoopiline seen, algloom, ussnugiline ja lülijalgne, kaasa arvatud nende geneetiliselt muundatud vormid, ning nende bioloogilised komponendid ja toksiinid, mis on võimelised põhjustama inimese nakatumist ja nakkushaigust</w:t>
            </w:r>
          </w:p>
        </w:tc>
      </w:tr>
      <w:tr w:rsidR="00986837" w:rsidRPr="00AB784F" w14:paraId="778E8FA6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FEF3" w14:textId="002D65F0" w:rsidR="00986837" w:rsidRPr="00AB784F" w:rsidRDefault="00986837" w:rsidP="009868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nakkushaiguste tõrje – selliste tervisekaitseabinõude rakendamine, mis võimaldavad nakkushaige või nakkuskahtlase isiku varakult avastada ning teda uurida ja ravida, selgitada tema nakatumise põhjused ja viisid, tõkestada nakkushaiguse levikut ning vältida tervete nakatumist; </w:t>
            </w: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9E59" w14:textId="626339E9" w:rsidR="00986837" w:rsidRPr="00AB784F" w:rsidRDefault="0059728D" w:rsidP="009868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59728D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 xml:space="preserve">nakkushaiguste tõrje – </w:t>
            </w:r>
            <w:r w:rsidRPr="0059728D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nakkushaiguse leviku tõkestamiseks ja likvideerimiseks rakendatavate meetmete kogum, sealhulgas piirangute ja ettevaatusabinõude kohaldamine</w:t>
            </w:r>
          </w:p>
        </w:tc>
      </w:tr>
      <w:tr w:rsidR="00924982" w:rsidRPr="00AB784F" w14:paraId="7955674F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1DC9" w14:textId="77777777" w:rsidR="00924982" w:rsidRPr="00AB784F" w:rsidRDefault="00924982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6EE8" w14:textId="28818724" w:rsidR="00924982" w:rsidRPr="00AB784F" w:rsidRDefault="00543D5F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 xml:space="preserve">pandeemia </w:t>
            </w: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– </w:t>
            </w:r>
            <w:r w:rsidRPr="004E4478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nakkushaiguse ülemaailmne või väga laiaulatuslik piiriülene levik, mis haarab suurt osa elanikkonnast</w:t>
            </w:r>
          </w:p>
        </w:tc>
      </w:tr>
      <w:tr w:rsidR="004727D1" w:rsidRPr="00AB784F" w14:paraId="2226FA46" w14:textId="77777777" w:rsidTr="0098683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A50B" w14:textId="5040ADA0" w:rsidR="004727D1" w:rsidRPr="00E677AF" w:rsidRDefault="004727D1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9208" w14:textId="38E34FD7" w:rsidR="004727D1" w:rsidRPr="00E677AF" w:rsidRDefault="00D3440E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 xml:space="preserve">Rahvastiku tervist ohustav </w:t>
            </w:r>
            <w:r w:rsidR="00E677AF" w:rsidRPr="00E677AF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>rahvusvahelise tähtsusega hädaolukord</w:t>
            </w:r>
            <w:r w:rsidR="00E677AF" w:rsidRPr="00E677A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–</w:t>
            </w:r>
            <w:r w:rsidR="00225DA4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</w:t>
            </w:r>
            <w:r w:rsidR="00E677AF" w:rsidRPr="00E677A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vastavalt rahvusvahelistele tervise-eeskirjadele </w:t>
            </w:r>
            <w:r w:rsidR="001207F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Maailma Terviseorganisatsiooni peadirektori </w:t>
            </w:r>
            <w:r w:rsidR="00E677AF" w:rsidRPr="00E677A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väljakuulutatud erakorraline sündmus, mis kujutab nakkushaiguse rahvusvahelise leviku tõttu ohtu teiste riikide rahvastiku tervisele ja võib nõuda koordineeritud rahvusvahelist tõrjet</w:t>
            </w:r>
          </w:p>
        </w:tc>
      </w:tr>
      <w:tr w:rsidR="00E677AF" w:rsidRPr="00AB784F" w14:paraId="639CC86D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0393" w14:textId="77777777" w:rsidR="00E677AF" w:rsidRPr="00AB784F" w:rsidRDefault="00E677AF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F0F" w14:textId="56C373AB" w:rsidR="00E677AF" w:rsidRPr="0003603A" w:rsidRDefault="00EA4CFA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 xml:space="preserve">terviseseisundit kinnitav tõend </w:t>
            </w: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– </w:t>
            </w:r>
            <w:r w:rsidRPr="002604B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tervishoiuteenuse osutaja või muu pädeva asutuse väljastatud isikustatud dokument, mis tõendab nakkushaiguse läbipõdemist, negatiivset testitulemust, immuniseerimist</w:t>
            </w:r>
            <w: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,</w:t>
            </w:r>
            <w:r w:rsidRPr="002604B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või meditsiinilist vastunäidustust nakkustõrje meetme järgimiseks</w:t>
            </w:r>
          </w:p>
        </w:tc>
      </w:tr>
      <w:tr w:rsidR="00E677AF" w:rsidRPr="00AB784F" w14:paraId="4B62AB98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E3C8" w14:textId="77777777" w:rsidR="00E677AF" w:rsidRPr="00AB784F" w:rsidRDefault="00E677AF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672A" w14:textId="70C9FE1E" w:rsidR="00E677AF" w:rsidRPr="0003603A" w:rsidRDefault="00ED70A7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ED70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  <w:t xml:space="preserve">uuringumaterjal – </w:t>
            </w:r>
            <w:r w:rsidRPr="00ED70A7"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  <w:t>nakkushaiguse diagnoosimiseks, seireks või epidemioloogiliseks uuringuks inimeselt või loomalt võetud proov, keskkonnaproov, toiduproov, joogiveeproov või muu bioloogiline, sealhulgas laboratoorselt eraldatud materjal</w:t>
            </w:r>
          </w:p>
        </w:tc>
      </w:tr>
      <w:tr w:rsidR="004727D1" w:rsidRPr="00AB784F" w14:paraId="5533FA1B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64CC" w14:textId="77777777" w:rsidR="004727D1" w:rsidRPr="00AB784F" w:rsidRDefault="004727D1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B037" w14:textId="45FD0BE3" w:rsidR="004727D1" w:rsidRPr="00AB784F" w:rsidRDefault="00ED70A7" w:rsidP="00472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t-EE"/>
                <w14:ligatures w14:val="none"/>
              </w:rPr>
            </w:pPr>
            <w:r w:rsidRPr="004B78F4">
              <w:rPr>
                <w:rFonts w:ascii="Times New Roman" w:hAnsi="Times New Roman" w:cs="Times New Roman"/>
                <w:i/>
                <w:iCs/>
              </w:rPr>
              <w:t>zoonoos</w:t>
            </w:r>
            <w:r w:rsidRPr="004B78F4">
              <w:rPr>
                <w:rFonts w:ascii="Times New Roman" w:hAnsi="Times New Roman" w:cs="Times New Roman"/>
              </w:rPr>
              <w:t xml:space="preserve"> – </w:t>
            </w:r>
            <w:r w:rsidR="007E039C" w:rsidRPr="007E039C">
              <w:rPr>
                <w:rFonts w:ascii="Times New Roman" w:hAnsi="Times New Roman" w:cs="Times New Roman"/>
              </w:rPr>
              <w:t xml:space="preserve">nakkushaigus, mis kandub selgroogselt loomalt inimesele otsese või kaudse kontakti, </w:t>
            </w:r>
            <w:proofErr w:type="spellStart"/>
            <w:r w:rsidR="007E039C" w:rsidRPr="007E039C">
              <w:rPr>
                <w:rFonts w:ascii="Times New Roman" w:hAnsi="Times New Roman" w:cs="Times New Roman"/>
              </w:rPr>
              <w:t>siirutaja</w:t>
            </w:r>
            <w:proofErr w:type="spellEnd"/>
            <w:r w:rsidR="007E039C" w:rsidRPr="007E039C">
              <w:rPr>
                <w:rFonts w:ascii="Times New Roman" w:hAnsi="Times New Roman" w:cs="Times New Roman"/>
              </w:rPr>
              <w:t>, toidu, vee või keskkonna kaudu</w:t>
            </w:r>
          </w:p>
        </w:tc>
      </w:tr>
      <w:tr w:rsidR="001C3DF1" w:rsidRPr="00AB784F" w14:paraId="4E3806CF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E356" w14:textId="04224807" w:rsidR="001C3DF1" w:rsidRDefault="001C3DF1" w:rsidP="001C3D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eriti ohtlik nakkushaigus – suure </w:t>
            </w:r>
            <w:proofErr w:type="spellStart"/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nakatuvusega</w:t>
            </w:r>
            <w:proofErr w:type="spellEnd"/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haigus, mis levib kiiresti ja ulatuslikult või mille kulg on raske või eluohtlik. Käesoleva seaduse tähenduses on eriti ohtlikud nakkushaigused katk, koolera, kollapalavik, viiruslikud hemorraagilised palavikud ja tuberkuloos; </w:t>
            </w: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2D6A" w14:textId="77777777" w:rsidR="001C3DF1" w:rsidRPr="0038789C" w:rsidRDefault="001C3DF1" w:rsidP="001C3D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</w:tr>
      <w:tr w:rsidR="001C3DF1" w:rsidRPr="00AB784F" w14:paraId="4ACB6BA3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C2E5" w14:textId="3231DA28" w:rsidR="001C3DF1" w:rsidRDefault="001C3DF1" w:rsidP="001C3D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>doonorivere säilitusproov</w:t>
            </w: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 – doonorivere proov, mis on võetud veredoosist; </w:t>
            </w: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85B6" w14:textId="77777777" w:rsidR="001C3DF1" w:rsidRPr="0038789C" w:rsidRDefault="001C3DF1" w:rsidP="001C3D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</w:tr>
      <w:tr w:rsidR="004727D1" w:rsidRPr="00AB784F" w14:paraId="43531F5F" w14:textId="77777777" w:rsidTr="003B1047">
        <w:trPr>
          <w:trHeight w:val="304"/>
        </w:trPr>
        <w:tc>
          <w:tcPr>
            <w:tcW w:w="1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5096B" w14:textId="0F8A37A8" w:rsidR="004727D1" w:rsidRPr="00AB784F" w:rsidRDefault="001C3DF1" w:rsidP="004727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(2) </w:t>
            </w:r>
            <w:r w:rsidR="004727D1"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Uudne ohtlik nakkushaigus käesoleva seaduse tähenduses on nakkushaigus: </w:t>
            </w:r>
          </w:p>
          <w:p w14:paraId="2D46F762" w14:textId="77777777" w:rsidR="004727D1" w:rsidRPr="00AB784F" w:rsidRDefault="004727D1" w:rsidP="004727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  1) millel on käesoleva paragrahvi lõike 1 punktis 3 sätestatud eriti ohtliku nakkushaiguse tunnused; </w:t>
            </w:r>
          </w:p>
          <w:p w14:paraId="168D3635" w14:textId="77777777" w:rsidR="004727D1" w:rsidRPr="00AB784F" w:rsidRDefault="004727D1" w:rsidP="004727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t-EE"/>
                <w14:ligatures w14:val="none"/>
              </w:rPr>
            </w:pPr>
            <w:r w:rsidRPr="00AB784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  2) millel puudub või ei ole kättesaadav efektiivne ravi või mille levik võib ületada haiglate ravivõimekust. </w:t>
            </w:r>
          </w:p>
        </w:tc>
        <w:tc>
          <w:tcPr>
            <w:tcW w:w="3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B6271" w14:textId="3B090796" w:rsidR="0038789C" w:rsidRPr="0038789C" w:rsidRDefault="0038789C" w:rsidP="003878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(2) Nakkushaigus loetakse ohtlikuks (edaspidi ohtlik nakkushaigus), kui see vastab vähemalt ühele järgmistest tunnustest: </w:t>
            </w:r>
          </w:p>
          <w:p w14:paraId="3D39E436" w14:textId="70FB7AAE" w:rsidR="0038789C" w:rsidRPr="0038789C" w:rsidRDefault="0038789C" w:rsidP="003878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1) haigus põhjustab suurt suremust, rasket haiguskulgu või püsivat tervisekahjustust</w:t>
            </w:r>
            <w:r w:rsidR="00144E8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ja</w:t>
            </w: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selle levik kujutab tõsist ohtu rahvastiku tervisele; </w:t>
            </w:r>
          </w:p>
          <w:p w14:paraId="75B0148F" w14:textId="16D571BD" w:rsidR="0038789C" w:rsidRPr="0038789C" w:rsidRDefault="0038789C" w:rsidP="003878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2) haigus levib kiiresti või ulatuslikult </w:t>
            </w:r>
            <w:r w:rsidR="00DC4E62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ja </w:t>
            </w: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selle levikuga kaasneb oht tervishoiusüsteemi toimepidevusele või muu elutähtsa teenuse osutamisele; </w:t>
            </w:r>
          </w:p>
          <w:p w14:paraId="6148FDD1" w14:textId="4B4CEA7D" w:rsidR="0038789C" w:rsidRPr="0038789C" w:rsidRDefault="0038789C" w:rsidP="003878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3) haiguse on põhjustanud uus, </w:t>
            </w:r>
            <w:proofErr w:type="spellStart"/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taasilmunud</w:t>
            </w:r>
            <w:proofErr w:type="spellEnd"/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või harvaesinev nakkustekitaja, mille </w:t>
            </w:r>
            <w:r w:rsidR="00176ABF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suhtes </w:t>
            </w: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puudub elanikkonnal immuunsus või </w:t>
            </w:r>
            <w:r w:rsidR="00B02075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puuduvad </w:t>
            </w: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tõhusad ravi- või ennetusmeetmed</w:t>
            </w:r>
            <w:r w:rsidR="00933AB2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ja</w:t>
            </w: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millega võib kaasneda tõsine oht rahvastiku tervisele; </w:t>
            </w:r>
          </w:p>
          <w:p w14:paraId="483E13DE" w14:textId="05FEA6D2" w:rsidR="0038789C" w:rsidRPr="0038789C" w:rsidRDefault="0038789C" w:rsidP="003878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4) haiguse levikust tulenevalt on Maailma Terviseorganisatsioon kuulutanud välja rahv</w:t>
            </w:r>
            <w:r w:rsidR="00F848A8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astiku tervist ohustava rahvusvahelise </w:t>
            </w: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tähtsusega hädaolukorra või Euroopa Komisjon on tunn</w:t>
            </w:r>
            <w:r w:rsidR="00F848A8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i</w:t>
            </w: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stanud</w:t>
            </w:r>
            <w:r w:rsidR="00F848A8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, et esineb</w:t>
            </w: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rahvatervise hädaolukord Euroopa Parlamendi ja nõukogu määruse (EL) 2022/2371, milles käsitletakse tõsiseid piiriüleseid terviseohtusid ja millega tunnistatakse kehtetuks otsus nr 1082/2013/EL (ELT L 314, 06.12.2022, lk 26–63) </w:t>
            </w:r>
            <w:r w:rsidR="00745BFD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(edaspidi </w:t>
            </w:r>
            <w:r w:rsidR="00745BFD" w:rsidRPr="00745BFD">
              <w:rPr>
                <w:rFonts w:ascii="Times New Roman" w:eastAsia="Times New Roman" w:hAnsi="Times New Roman" w:cs="Times New Roman"/>
                <w:i/>
                <w:iCs/>
                <w:kern w:val="0"/>
                <w:lang w:eastAsia="et-EE"/>
                <w14:ligatures w14:val="none"/>
              </w:rPr>
              <w:t>määrus (EL) 2022/2371</w:t>
            </w:r>
            <w:r w:rsidR="00745BFD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), </w:t>
            </w: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tähenduses ning haiguse levikuga võib kaasneda oht rahvastiku tervisele Eestis. </w:t>
            </w:r>
          </w:p>
          <w:p w14:paraId="659500FE" w14:textId="02F1D270" w:rsidR="0038789C" w:rsidRPr="0038789C" w:rsidRDefault="0038789C" w:rsidP="003878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  <w:p w14:paraId="42654D4B" w14:textId="2054064A" w:rsidR="004727D1" w:rsidRPr="0057062E" w:rsidRDefault="0038789C" w:rsidP="0038789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t-EE"/>
                <w14:ligatures w14:val="none"/>
              </w:rPr>
            </w:pPr>
            <w:r w:rsidRPr="0038789C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(3) Ohtlike nakkushaiguste loetelu kehtestab valdkonna eest vastutav minister määrusega. </w:t>
            </w:r>
          </w:p>
        </w:tc>
      </w:tr>
    </w:tbl>
    <w:p w14:paraId="7606646F" w14:textId="77777777" w:rsidR="00DB4662" w:rsidRDefault="00DB4662" w:rsidP="004565CA"/>
    <w:sectPr w:rsidR="00DB4662" w:rsidSect="00372B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237"/>
    <w:multiLevelType w:val="hybridMultilevel"/>
    <w:tmpl w:val="4D82F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003"/>
    <w:multiLevelType w:val="hybridMultilevel"/>
    <w:tmpl w:val="33FCAEA0"/>
    <w:lvl w:ilvl="0" w:tplc="6338E7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EE49A4"/>
    <w:multiLevelType w:val="hybridMultilevel"/>
    <w:tmpl w:val="A8429B44"/>
    <w:lvl w:ilvl="0" w:tplc="0425000F">
      <w:start w:val="1"/>
      <w:numFmt w:val="decimal"/>
      <w:lvlText w:val="%1."/>
      <w:lvlJc w:val="left"/>
      <w:pPr>
        <w:ind w:left="785" w:hanging="360"/>
      </w:p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26091389">
    <w:abstractNumId w:val="1"/>
  </w:num>
  <w:num w:numId="2" w16cid:durableId="1540432561">
    <w:abstractNumId w:val="0"/>
  </w:num>
  <w:num w:numId="3" w16cid:durableId="10231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62"/>
    <w:rsid w:val="00013347"/>
    <w:rsid w:val="00022E5E"/>
    <w:rsid w:val="00030702"/>
    <w:rsid w:val="0003603A"/>
    <w:rsid w:val="0004210D"/>
    <w:rsid w:val="0008228A"/>
    <w:rsid w:val="00086954"/>
    <w:rsid w:val="00087F5B"/>
    <w:rsid w:val="000949AC"/>
    <w:rsid w:val="000A5281"/>
    <w:rsid w:val="000C16C5"/>
    <w:rsid w:val="000C662F"/>
    <w:rsid w:val="000D4D75"/>
    <w:rsid w:val="000F26F1"/>
    <w:rsid w:val="00104D90"/>
    <w:rsid w:val="0011053E"/>
    <w:rsid w:val="00114A58"/>
    <w:rsid w:val="001207FF"/>
    <w:rsid w:val="00144E8F"/>
    <w:rsid w:val="00171F5F"/>
    <w:rsid w:val="00176ABF"/>
    <w:rsid w:val="001A4EE4"/>
    <w:rsid w:val="001B265A"/>
    <w:rsid w:val="001C3DF1"/>
    <w:rsid w:val="001E28B2"/>
    <w:rsid w:val="00225DA4"/>
    <w:rsid w:val="00255391"/>
    <w:rsid w:val="002604BF"/>
    <w:rsid w:val="002748AB"/>
    <w:rsid w:val="00276BE8"/>
    <w:rsid w:val="002B44D4"/>
    <w:rsid w:val="002D0740"/>
    <w:rsid w:val="002D25C7"/>
    <w:rsid w:val="002D30E7"/>
    <w:rsid w:val="002E510B"/>
    <w:rsid w:val="002F37DD"/>
    <w:rsid w:val="00300BBD"/>
    <w:rsid w:val="00304E9D"/>
    <w:rsid w:val="0032268B"/>
    <w:rsid w:val="00341A0D"/>
    <w:rsid w:val="00372BA2"/>
    <w:rsid w:val="00376C41"/>
    <w:rsid w:val="0038789C"/>
    <w:rsid w:val="0039782B"/>
    <w:rsid w:val="003B0B6C"/>
    <w:rsid w:val="003B1047"/>
    <w:rsid w:val="003C5BDF"/>
    <w:rsid w:val="003D57B3"/>
    <w:rsid w:val="00404231"/>
    <w:rsid w:val="004043E9"/>
    <w:rsid w:val="00430780"/>
    <w:rsid w:val="00434FA3"/>
    <w:rsid w:val="00445915"/>
    <w:rsid w:val="004476CB"/>
    <w:rsid w:val="0045384D"/>
    <w:rsid w:val="004565CA"/>
    <w:rsid w:val="00467C66"/>
    <w:rsid w:val="004727D1"/>
    <w:rsid w:val="00482028"/>
    <w:rsid w:val="004A2C63"/>
    <w:rsid w:val="004B7836"/>
    <w:rsid w:val="004E4478"/>
    <w:rsid w:val="00543D5F"/>
    <w:rsid w:val="005459A1"/>
    <w:rsid w:val="00552A7C"/>
    <w:rsid w:val="005662FA"/>
    <w:rsid w:val="0057062E"/>
    <w:rsid w:val="00575279"/>
    <w:rsid w:val="00577E72"/>
    <w:rsid w:val="0059728D"/>
    <w:rsid w:val="005A1E56"/>
    <w:rsid w:val="005B09FC"/>
    <w:rsid w:val="005B6321"/>
    <w:rsid w:val="00604496"/>
    <w:rsid w:val="006235E0"/>
    <w:rsid w:val="00623710"/>
    <w:rsid w:val="00624C51"/>
    <w:rsid w:val="00637805"/>
    <w:rsid w:val="0064379C"/>
    <w:rsid w:val="0067768E"/>
    <w:rsid w:val="006B1A90"/>
    <w:rsid w:val="006C2B1D"/>
    <w:rsid w:val="006D5A75"/>
    <w:rsid w:val="006D7475"/>
    <w:rsid w:val="006F1AA5"/>
    <w:rsid w:val="007015B6"/>
    <w:rsid w:val="00737A5A"/>
    <w:rsid w:val="007435CF"/>
    <w:rsid w:val="00745BFD"/>
    <w:rsid w:val="007921A5"/>
    <w:rsid w:val="007D38A3"/>
    <w:rsid w:val="007E039C"/>
    <w:rsid w:val="007F3D74"/>
    <w:rsid w:val="007F7E23"/>
    <w:rsid w:val="00800323"/>
    <w:rsid w:val="008051BC"/>
    <w:rsid w:val="00806A63"/>
    <w:rsid w:val="00820042"/>
    <w:rsid w:val="00826288"/>
    <w:rsid w:val="008436AA"/>
    <w:rsid w:val="00851510"/>
    <w:rsid w:val="008547C7"/>
    <w:rsid w:val="00863C65"/>
    <w:rsid w:val="00886280"/>
    <w:rsid w:val="00887A1C"/>
    <w:rsid w:val="008A3141"/>
    <w:rsid w:val="008C61B0"/>
    <w:rsid w:val="008C68F9"/>
    <w:rsid w:val="008D1271"/>
    <w:rsid w:val="008E62FC"/>
    <w:rsid w:val="00901929"/>
    <w:rsid w:val="009178A8"/>
    <w:rsid w:val="00924982"/>
    <w:rsid w:val="00926921"/>
    <w:rsid w:val="00933AB2"/>
    <w:rsid w:val="009837AD"/>
    <w:rsid w:val="00986837"/>
    <w:rsid w:val="009C1920"/>
    <w:rsid w:val="009D7BD1"/>
    <w:rsid w:val="00A25BAD"/>
    <w:rsid w:val="00A40625"/>
    <w:rsid w:val="00AA0F2A"/>
    <w:rsid w:val="00AB784F"/>
    <w:rsid w:val="00B01FCA"/>
    <w:rsid w:val="00B02075"/>
    <w:rsid w:val="00B11E6E"/>
    <w:rsid w:val="00B409A0"/>
    <w:rsid w:val="00B60F5D"/>
    <w:rsid w:val="00B77466"/>
    <w:rsid w:val="00B81688"/>
    <w:rsid w:val="00B9683B"/>
    <w:rsid w:val="00BC3360"/>
    <w:rsid w:val="00BD036E"/>
    <w:rsid w:val="00BE35F3"/>
    <w:rsid w:val="00BE585C"/>
    <w:rsid w:val="00BF6175"/>
    <w:rsid w:val="00C057BC"/>
    <w:rsid w:val="00C32EE9"/>
    <w:rsid w:val="00C33627"/>
    <w:rsid w:val="00C36841"/>
    <w:rsid w:val="00C4542E"/>
    <w:rsid w:val="00C45FA8"/>
    <w:rsid w:val="00C54C57"/>
    <w:rsid w:val="00C623AA"/>
    <w:rsid w:val="00CC39A3"/>
    <w:rsid w:val="00CC6BC0"/>
    <w:rsid w:val="00CE403E"/>
    <w:rsid w:val="00CE54B9"/>
    <w:rsid w:val="00CF707D"/>
    <w:rsid w:val="00D069A6"/>
    <w:rsid w:val="00D118ED"/>
    <w:rsid w:val="00D3440E"/>
    <w:rsid w:val="00D72362"/>
    <w:rsid w:val="00DA6824"/>
    <w:rsid w:val="00DB079A"/>
    <w:rsid w:val="00DB4662"/>
    <w:rsid w:val="00DC4E62"/>
    <w:rsid w:val="00DE107A"/>
    <w:rsid w:val="00E15427"/>
    <w:rsid w:val="00E26AE5"/>
    <w:rsid w:val="00E26F0E"/>
    <w:rsid w:val="00E35929"/>
    <w:rsid w:val="00E677AF"/>
    <w:rsid w:val="00E8099A"/>
    <w:rsid w:val="00EA47B1"/>
    <w:rsid w:val="00EA4CFA"/>
    <w:rsid w:val="00EB2F08"/>
    <w:rsid w:val="00EB60BC"/>
    <w:rsid w:val="00EC7484"/>
    <w:rsid w:val="00ED5EBE"/>
    <w:rsid w:val="00ED70A7"/>
    <w:rsid w:val="00EF4897"/>
    <w:rsid w:val="00F4314C"/>
    <w:rsid w:val="00F52146"/>
    <w:rsid w:val="00F54C3A"/>
    <w:rsid w:val="00F6207A"/>
    <w:rsid w:val="00F640A1"/>
    <w:rsid w:val="00F848A8"/>
    <w:rsid w:val="00FF2312"/>
    <w:rsid w:val="06368C7B"/>
    <w:rsid w:val="0EF1270A"/>
    <w:rsid w:val="1CB06E40"/>
    <w:rsid w:val="1D3A6860"/>
    <w:rsid w:val="2FCD0FEC"/>
    <w:rsid w:val="35BB11DE"/>
    <w:rsid w:val="437FA7D4"/>
    <w:rsid w:val="4F5E3EAF"/>
    <w:rsid w:val="520CC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7F49"/>
  <w15:chartTrackingRefBased/>
  <w15:docId w15:val="{8A4B3D7C-21D9-4544-BEF3-7B79A1F8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B4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B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B4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B4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B4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B4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B4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B4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B4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B4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B4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B4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B466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B466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B466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B466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B466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B466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B4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B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B4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B4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B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B466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B466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B466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B4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B466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B4662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DB466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B466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B4662"/>
    <w:rPr>
      <w:sz w:val="20"/>
      <w:szCs w:val="20"/>
    </w:rPr>
  </w:style>
  <w:style w:type="character" w:styleId="Hperlink">
    <w:name w:val="Hyperlink"/>
    <w:basedOn w:val="Liguvaikefont"/>
    <w:uiPriority w:val="99"/>
    <w:unhideWhenUsed/>
    <w:rsid w:val="00DB4662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B4662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1B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2B44D4"/>
    <w:pPr>
      <w:spacing w:after="0" w:line="240" w:lineRule="auto"/>
    </w:pPr>
  </w:style>
  <w:style w:type="paragraph" w:customStyle="1" w:styleId="paragraph">
    <w:name w:val="paragraph"/>
    <w:basedOn w:val="Normaallaad"/>
    <w:rsid w:val="00AB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customStyle="1" w:styleId="normaltextrun">
    <w:name w:val="normaltextrun"/>
    <w:basedOn w:val="Liguvaikefont"/>
    <w:rsid w:val="00AB784F"/>
  </w:style>
  <w:style w:type="character" w:customStyle="1" w:styleId="eop">
    <w:name w:val="eop"/>
    <w:basedOn w:val="Liguvaikefont"/>
    <w:rsid w:val="00AB784F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76BE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76B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403202500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232A626E274418CD1644F061EC4D8" ma:contentTypeVersion="6" ma:contentTypeDescription="Loo uus dokument" ma:contentTypeScope="" ma:versionID="8bbd4d848171f547cc5c56efb3807f97">
  <xsd:schema xmlns:xsd="http://www.w3.org/2001/XMLSchema" xmlns:xs="http://www.w3.org/2001/XMLSchema" xmlns:p="http://schemas.microsoft.com/office/2006/metadata/properties" xmlns:ns2="9d4b5c41-0a55-49bc-81b8-cae18ee38c92" targetNamespace="http://schemas.microsoft.com/office/2006/metadata/properties" ma:root="true" ma:fieldsID="f69a0848cd5d44ac4a136cf88efb0944" ns2:_="">
    <xsd:import namespace="9d4b5c41-0a55-49bc-81b8-cae18ee38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b5c41-0a55-49bc-81b8-cae18ee38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AAAAB-6807-40CB-A36E-E3A3285BE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b5c41-0a55-49bc-81b8-cae18ee38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8C38E-8F4C-4C80-B807-5284A53035AC}">
  <ds:schemaRefs>
    <ds:schemaRef ds:uri="9d4b5c41-0a55-49bc-81b8-cae18ee38c92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6E11E25-4767-4518-A918-E314E8D289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1241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Reintamm-Gutan - SOM</dc:creator>
  <cp:keywords/>
  <dc:description/>
  <cp:lastModifiedBy>Kerli Reintamm-Gutan - SOM</cp:lastModifiedBy>
  <cp:revision>20</cp:revision>
  <dcterms:created xsi:type="dcterms:W3CDTF">2026-01-26T11:55:00Z</dcterms:created>
  <dcterms:modified xsi:type="dcterms:W3CDTF">2026-02-02T07:37:00Z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2025-08-29T16:08:14Z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f7a800a2-bed9-45a8-89d0-fc2a8976d776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0x0101005A5232A626E274418CD1644F061EC4D8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